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7B2461">
        <w:rPr>
          <w:rFonts w:cs="Arial"/>
          <w:bCs/>
          <w:i/>
          <w:iCs/>
          <w:color w:val="FF0000"/>
          <w:sz w:val="20"/>
        </w:rPr>
        <w:t>2</w:t>
      </w:r>
      <w:r w:rsidR="00D55800">
        <w:rPr>
          <w:rFonts w:cs="Arial"/>
          <w:bCs/>
          <w:i/>
          <w:iCs/>
          <w:color w:val="FF0000"/>
          <w:sz w:val="20"/>
        </w:rPr>
        <w:t>/</w:t>
      </w:r>
      <w:r w:rsidR="00FD7437">
        <w:rPr>
          <w:rFonts w:cs="Arial"/>
          <w:bCs/>
          <w:i/>
          <w:iCs/>
          <w:color w:val="FF0000"/>
          <w:sz w:val="20"/>
        </w:rPr>
        <w:t>2</w:t>
      </w:r>
      <w:r w:rsidR="00946F29">
        <w:rPr>
          <w:rFonts w:cs="Arial"/>
          <w:bCs/>
          <w:i/>
          <w:iCs/>
          <w:color w:val="FF0000"/>
          <w:sz w:val="20"/>
        </w:rPr>
        <w:t>/</w:t>
      </w:r>
      <w:r w:rsidR="00D55800">
        <w:rPr>
          <w:rFonts w:cs="Arial"/>
          <w:bCs/>
          <w:i/>
          <w:iCs/>
          <w:color w:val="FF0000"/>
          <w:sz w:val="20"/>
        </w:rPr>
        <w:t>201</w:t>
      </w:r>
      <w:r w:rsidR="00FD7437">
        <w:rPr>
          <w:rFonts w:cs="Arial"/>
          <w:bCs/>
          <w:i/>
          <w:iCs/>
          <w:color w:val="FF0000"/>
          <w:sz w:val="20"/>
        </w:rPr>
        <w:t>8</w:t>
      </w:r>
    </w:p>
    <w:p w:rsidR="00E33BB5" w:rsidRPr="007A54A3" w:rsidRDefault="00E33BB5" w:rsidP="00A7566C">
      <w:pPr>
        <w:pStyle w:val="Title"/>
        <w:jc w:val="both"/>
        <w:rPr>
          <w:rFonts w:cs="Arial"/>
          <w:sz w:val="20"/>
          <w:highlight w:val="yellow"/>
        </w:rPr>
      </w:pPr>
    </w:p>
    <w:p w:rsidR="00F9759F" w:rsidRPr="007A54A3" w:rsidRDefault="00BA525F" w:rsidP="00E71848">
      <w:pPr>
        <w:pStyle w:val="Title"/>
        <w:jc w:val="both"/>
        <w:rPr>
          <w:rFonts w:cs="Arial"/>
          <w:sz w:val="20"/>
        </w:rPr>
      </w:pPr>
      <w:bookmarkStart w:id="1" w:name="OLE_LINK12"/>
      <w:bookmarkStart w:id="2" w:name="OLE_LINK13"/>
      <w:r w:rsidRPr="007A54A3">
        <w:rPr>
          <w:rFonts w:cs="Arial"/>
          <w:sz w:val="20"/>
          <w:highlight w:val="yellow"/>
        </w:rPr>
        <w:t>[</w:t>
      </w:r>
      <w:r w:rsidR="006B7E4D" w:rsidRPr="007A54A3">
        <w:rPr>
          <w:rFonts w:cs="Arial"/>
          <w:sz w:val="20"/>
          <w:highlight w:val="yellow"/>
          <w:u w:val="single"/>
        </w:rPr>
        <w:t>N</w:t>
      </w:r>
      <w:r w:rsidR="00E71848" w:rsidRPr="007A54A3">
        <w:rPr>
          <w:rFonts w:cs="Arial"/>
          <w:caps w:val="0"/>
          <w:sz w:val="20"/>
          <w:highlight w:val="yellow"/>
          <w:u w:val="single"/>
        </w:rPr>
        <w:t>ote</w:t>
      </w:r>
      <w:r w:rsidR="006B7E4D" w:rsidRPr="007A54A3">
        <w:rPr>
          <w:rFonts w:cs="Arial"/>
          <w:sz w:val="20"/>
          <w:highlight w:val="yellow"/>
        </w:rPr>
        <w:t>:</w:t>
      </w:r>
      <w:r w:rsidR="00BD790D" w:rsidRPr="007A54A3">
        <w:rPr>
          <w:rFonts w:cs="Arial"/>
          <w:sz w:val="20"/>
          <w:highlight w:val="yellow"/>
        </w:rPr>
        <w:t xml:space="preserve"> </w:t>
      </w:r>
      <w:r w:rsidR="00F9759F" w:rsidRPr="007A54A3">
        <w:rPr>
          <w:rFonts w:cs="Arial"/>
          <w:sz w:val="20"/>
          <w:highlight w:val="yellow"/>
          <w:u w:val="single"/>
        </w:rPr>
        <w:t xml:space="preserve">ThIS </w:t>
      </w:r>
      <w:r w:rsidR="001B7E02" w:rsidRPr="007A54A3">
        <w:rPr>
          <w:rFonts w:cs="Arial"/>
          <w:sz w:val="20"/>
          <w:highlight w:val="yellow"/>
          <w:u w:val="single"/>
        </w:rPr>
        <w:t>template</w:t>
      </w:r>
      <w:r w:rsidR="00F9759F" w:rsidRPr="007A54A3">
        <w:rPr>
          <w:rFonts w:cs="Arial"/>
          <w:sz w:val="20"/>
          <w:highlight w:val="yellow"/>
          <w:u w:val="single"/>
        </w:rPr>
        <w:t xml:space="preserve"> IS not </w:t>
      </w:r>
      <w:r w:rsidR="00A7566C" w:rsidRPr="007A54A3">
        <w:rPr>
          <w:rFonts w:cs="Arial"/>
          <w:sz w:val="20"/>
          <w:highlight w:val="yellow"/>
          <w:u w:val="single"/>
        </w:rPr>
        <w:t>an OGC standard form contract.</w:t>
      </w:r>
      <w:r w:rsidR="00A7566C" w:rsidRPr="007A54A3">
        <w:rPr>
          <w:rFonts w:cs="Arial"/>
          <w:sz w:val="20"/>
          <w:highlight w:val="yellow"/>
        </w:rPr>
        <w:t xml:space="preserve"> </w:t>
      </w:r>
      <w:r w:rsidR="001B7E02" w:rsidRPr="009957C9">
        <w:rPr>
          <w:rFonts w:ascii="Arial Bold" w:hAnsi="Arial Bold" w:cs="Arial"/>
          <w:caps w:val="0"/>
          <w:smallCaps/>
          <w:sz w:val="20"/>
          <w:highlight w:val="yellow"/>
        </w:rPr>
        <w:t>this template i</w:t>
      </w:r>
      <w:r w:rsidR="009957C9">
        <w:rPr>
          <w:rFonts w:ascii="Arial Bold" w:hAnsi="Arial Bold" w:cs="Arial"/>
          <w:caps w:val="0"/>
          <w:smallCaps/>
          <w:sz w:val="20"/>
          <w:highlight w:val="yellow"/>
        </w:rPr>
        <w:t>s</w:t>
      </w:r>
      <w:r w:rsidR="00F9759F" w:rsidRPr="009957C9">
        <w:rPr>
          <w:rFonts w:ascii="Arial Bold" w:hAnsi="Arial Bold" w:cs="Arial"/>
          <w:caps w:val="0"/>
          <w:smallCaps/>
          <w:sz w:val="20"/>
          <w:highlight w:val="yellow"/>
        </w:rPr>
        <w:t xml:space="preserve"> intended as general</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information a</w:t>
      </w:r>
      <w:r w:rsidR="009957C9">
        <w:rPr>
          <w:rFonts w:ascii="Arial Bold" w:hAnsi="Arial Bold" w:cs="Arial"/>
          <w:caps w:val="0"/>
          <w:smallCaps/>
          <w:sz w:val="20"/>
          <w:highlight w:val="yellow"/>
        </w:rPr>
        <w:t>nd</w:t>
      </w:r>
      <w:r w:rsidR="00F9759F" w:rsidRPr="009957C9">
        <w:rPr>
          <w:rFonts w:ascii="Arial Bold" w:hAnsi="Arial Bold" w:cs="Arial"/>
          <w:caps w:val="0"/>
          <w:smallCaps/>
          <w:sz w:val="20"/>
          <w:highlight w:val="yellow"/>
        </w:rPr>
        <w:t xml:space="preserve"> as </w:t>
      </w:r>
      <w:r w:rsidR="009957C9">
        <w:rPr>
          <w:rFonts w:ascii="Arial Bold" w:hAnsi="Arial Bold" w:cs="Arial"/>
          <w:caps w:val="0"/>
          <w:smallCaps/>
          <w:sz w:val="20"/>
          <w:highlight w:val="yellow"/>
        </w:rPr>
        <w:t>an</w:t>
      </w:r>
      <w:r w:rsidR="00F9759F" w:rsidRPr="009957C9">
        <w:rPr>
          <w:rFonts w:ascii="Arial Bold" w:hAnsi="Arial Bold" w:cs="Arial"/>
          <w:caps w:val="0"/>
          <w:smallCaps/>
          <w:sz w:val="20"/>
          <w:highlight w:val="yellow"/>
        </w:rPr>
        <w:t xml:space="preserve"> example only.</w:t>
      </w:r>
      <w:r w:rsidR="001E2C0E" w:rsidRPr="009957C9">
        <w:rPr>
          <w:rFonts w:ascii="Arial Bold" w:hAnsi="Arial Bold" w:cs="Arial"/>
          <w:caps w:val="0"/>
          <w:smallCaps/>
          <w:sz w:val="20"/>
          <w:highlight w:val="yellow"/>
        </w:rPr>
        <w:t xml:space="preserve"> </w:t>
      </w:r>
      <w:r w:rsidR="001D5661" w:rsidRPr="009957C9">
        <w:rPr>
          <w:rFonts w:ascii="Arial Bold" w:hAnsi="Arial Bold" w:cs="Arial"/>
          <w:caps w:val="0"/>
          <w:smallCaps/>
          <w:sz w:val="20"/>
          <w:highlight w:val="yellow"/>
        </w:rPr>
        <w:t>I</w:t>
      </w:r>
      <w:r w:rsidR="009957C9">
        <w:rPr>
          <w:rFonts w:ascii="Arial Bold" w:hAnsi="Arial Bold" w:cs="Arial"/>
          <w:caps w:val="0"/>
          <w:smallCaps/>
          <w:sz w:val="20"/>
          <w:highlight w:val="yellow"/>
        </w:rPr>
        <w:t>t</w:t>
      </w:r>
      <w:r w:rsidR="001D5661" w:rsidRPr="009957C9">
        <w:rPr>
          <w:rFonts w:ascii="Arial Bold" w:hAnsi="Arial Bold" w:cs="Arial"/>
          <w:caps w:val="0"/>
          <w:smallCaps/>
          <w:sz w:val="20"/>
          <w:highlight w:val="yellow"/>
        </w:rPr>
        <w:t xml:space="preserve"> I</w:t>
      </w:r>
      <w:r w:rsidR="00A7566C" w:rsidRPr="009957C9">
        <w:rPr>
          <w:rFonts w:ascii="Arial Bold" w:hAnsi="Arial Bold" w:cs="Arial"/>
          <w:caps w:val="0"/>
          <w:smallCaps/>
          <w:sz w:val="20"/>
          <w:highlight w:val="yellow"/>
        </w:rPr>
        <w:t>s not intended to provide specific legal advice for a particular situation.</w:t>
      </w:r>
      <w:r w:rsidR="009F198E"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Please do not rely on th</w:t>
      </w:r>
      <w:r w:rsidR="009957C9">
        <w:rPr>
          <w:rFonts w:ascii="Arial Bold" w:hAnsi="Arial Bold" w:cs="Arial"/>
          <w:caps w:val="0"/>
          <w:smallCaps/>
          <w:sz w:val="20"/>
          <w:highlight w:val="yellow"/>
        </w:rPr>
        <w:t>is</w:t>
      </w:r>
      <w:r w:rsidR="00F9759F" w:rsidRPr="009957C9">
        <w:rPr>
          <w:rFonts w:ascii="Arial Bold" w:hAnsi="Arial Bold" w:cs="Arial"/>
          <w:caps w:val="0"/>
          <w:smallCaps/>
          <w:sz w:val="20"/>
          <w:highlight w:val="yellow"/>
        </w:rPr>
        <w:t xml:space="preserve"> </w:t>
      </w:r>
      <w:r w:rsidR="001E2C0E" w:rsidRPr="009957C9">
        <w:rPr>
          <w:rFonts w:ascii="Arial Bold" w:hAnsi="Arial Bold" w:cs="Arial"/>
          <w:caps w:val="0"/>
          <w:smallCaps/>
          <w:sz w:val="20"/>
          <w:highlight w:val="yellow"/>
        </w:rPr>
        <w:t>template</w:t>
      </w:r>
      <w:r w:rsidR="00F9759F" w:rsidRPr="009957C9">
        <w:rPr>
          <w:rFonts w:ascii="Arial Bold" w:hAnsi="Arial Bold" w:cs="Arial"/>
          <w:caps w:val="0"/>
          <w:smallCaps/>
          <w:sz w:val="20"/>
          <w:highlight w:val="yellow"/>
        </w:rPr>
        <w:t xml:space="preserve"> as a substitute for obtaining legal advice from a licensed</w:t>
      </w:r>
      <w:r w:rsidR="001B7E02" w:rsidRPr="009957C9">
        <w:rPr>
          <w:rFonts w:ascii="Arial Bold" w:hAnsi="Arial Bold" w:cs="Arial"/>
          <w:caps w:val="0"/>
          <w:smallCaps/>
          <w:sz w:val="20"/>
          <w:highlight w:val="yellow"/>
        </w:rPr>
        <w:t xml:space="preserve"> </w:t>
      </w:r>
      <w:r w:rsidR="00F9759F" w:rsidRPr="009957C9">
        <w:rPr>
          <w:rFonts w:ascii="Arial Bold" w:hAnsi="Arial Bold" w:cs="Arial"/>
          <w:caps w:val="0"/>
          <w:smallCaps/>
          <w:sz w:val="20"/>
          <w:highlight w:val="yellow"/>
        </w:rPr>
        <w:t>attorney</w:t>
      </w:r>
      <w:r w:rsidR="00F9759F" w:rsidRPr="007A54A3">
        <w:rPr>
          <w:rFonts w:cs="Arial"/>
          <w:sz w:val="20"/>
          <w:highlight w:val="yellow"/>
        </w:rPr>
        <w:t>.</w:t>
      </w:r>
      <w:r w:rsidRPr="007A54A3">
        <w:rPr>
          <w:rFonts w:cs="Arial"/>
          <w:sz w:val="20"/>
          <w:highlight w:val="yellow"/>
        </w:rPr>
        <w:t>]</w:t>
      </w:r>
    </w:p>
    <w:bookmarkEnd w:id="1"/>
    <w:bookmarkEnd w:id="2"/>
    <w:p w:rsidR="00F9759F" w:rsidRPr="007A54A3" w:rsidRDefault="00F9759F" w:rsidP="00060A29">
      <w:pPr>
        <w:suppressAutoHyphens/>
        <w:jc w:val="right"/>
        <w:rPr>
          <w:rFonts w:ascii="Arial" w:hAnsi="Arial" w:cs="Arial"/>
          <w:spacing w:val="-3"/>
          <w:sz w:val="20"/>
        </w:rPr>
      </w:pPr>
    </w:p>
    <w:p w:rsidR="00F9759F" w:rsidRPr="007A54A3" w:rsidRDefault="00F9759F">
      <w:pPr>
        <w:tabs>
          <w:tab w:val="center" w:pos="468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r w:rsidR="00697E16"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000391" w:rsidRPr="007A54A3">
        <w:rPr>
          <w:rFonts w:ascii="Arial" w:hAnsi="Arial" w:cs="Arial"/>
          <w:b/>
          <w:spacing w:val="-3"/>
          <w:sz w:val="20"/>
          <w:highlight w:val="cyan"/>
        </w:rPr>
        <w:t>:</w:t>
      </w:r>
      <w:r w:rsidR="00C00C80">
        <w:rPr>
          <w:rFonts w:ascii="Arial" w:hAnsi="Arial" w:cs="Arial"/>
          <w:b/>
          <w:spacing w:val="-3"/>
          <w:sz w:val="20"/>
        </w:rPr>
        <w:t xml:space="preserve"> </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r w:rsidR="000431F3" w:rsidRPr="007A54A3">
        <w:rPr>
          <w:rFonts w:ascii="Arial" w:hAnsi="Arial" w:cs="Arial"/>
          <w:sz w:val="20"/>
        </w:rPr>
        <w:t>(</w:t>
      </w:r>
      <w:r w:rsidR="00BE05C2" w:rsidRPr="007A54A3">
        <w:rPr>
          <w:rFonts w:ascii="Arial" w:hAnsi="Arial" w:cs="Arial"/>
          <w:sz w:val="20"/>
          <w:highlight w:val="lightGray"/>
        </w:rPr>
        <w:t>________________________</w:t>
      </w:r>
      <w:r w:rsidR="000431F3" w:rsidRPr="007A54A3">
        <w:rPr>
          <w:rFonts w:ascii="Arial" w:hAnsi="Arial" w:cs="Arial"/>
          <w:sz w:val="20"/>
        </w:rPr>
        <w:t>)</w:t>
      </w:r>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3"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3"/>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4" w:name="OLE_LINK5"/>
      <w:bookmarkStart w:id="5" w:name="OLE_LINK11"/>
      <w:r w:rsidR="007C0046" w:rsidRPr="007A54A3">
        <w:rPr>
          <w:rFonts w:ascii="Arial" w:hAnsi="Arial" w:cs="Arial"/>
          <w:b/>
          <w:spacing w:val="-3"/>
          <w:sz w:val="20"/>
          <w:highlight w:val="cyan"/>
        </w:rPr>
        <w:t>]</w:t>
      </w:r>
      <w:bookmarkEnd w:id="4"/>
      <w:bookmarkEnd w:id="5"/>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6" w:name="examine"/>
      <w:bookmarkEnd w:id="6"/>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515B26">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A90F61" w:rsidRPr="00515B26" w:rsidRDefault="00B41F53" w:rsidP="00A90F61">
      <w:pPr>
        <w:tabs>
          <w:tab w:val="left" w:pos="-720"/>
          <w:tab w:val="left" w:pos="0"/>
          <w:tab w:val="left" w:pos="1440"/>
        </w:tabs>
        <w:suppressAutoHyphens/>
        <w:ind w:left="1440" w:hanging="720"/>
        <w:jc w:val="both"/>
        <w:rPr>
          <w:rFonts w:ascii="Arial" w:hAnsi="Arial" w:cs="Arial"/>
          <w:spacing w:val="-3"/>
          <w:sz w:val="20"/>
        </w:rPr>
      </w:pPr>
      <w:r w:rsidRPr="00515B26">
        <w:rPr>
          <w:rFonts w:ascii="Arial" w:hAnsi="Arial" w:cs="Arial"/>
          <w:spacing w:val="-3"/>
          <w:sz w:val="20"/>
        </w:rPr>
        <w:t>7.6</w:t>
      </w:r>
      <w:r w:rsidRPr="00515B26">
        <w:rPr>
          <w:rFonts w:ascii="Arial" w:hAnsi="Arial" w:cs="Arial"/>
          <w:spacing w:val="-3"/>
          <w:sz w:val="20"/>
        </w:rPr>
        <w:tab/>
      </w:r>
      <w:r w:rsidR="00A90F61" w:rsidRPr="00515B26">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515B26">
        <w:rPr>
          <w:rFonts w:ascii="Arial" w:hAnsi="Arial" w:cs="Arial"/>
          <w:spacing w:val="-3"/>
          <w:sz w:val="20"/>
        </w:rPr>
        <w:noBreakHyphen/>
      </w:r>
      <w:r w:rsidR="00A90F61" w:rsidRPr="00515B26">
        <w:rPr>
          <w:rFonts w:ascii="Arial" w:hAnsi="Arial" w:cs="Arial"/>
          <w:spacing w:val="-3"/>
          <w:sz w:val="20"/>
        </w:rPr>
        <w:t xml:space="preserve">licensable, royalty-free license to use Contractor IP in connection with the Work </w:t>
      </w:r>
      <w:r w:rsidR="00BE5733" w:rsidRPr="00515B26">
        <w:rPr>
          <w:rFonts w:ascii="Arial" w:hAnsi="Arial" w:cs="Arial"/>
          <w:spacing w:val="-3"/>
          <w:sz w:val="20"/>
        </w:rPr>
        <w:t>and</w:t>
      </w:r>
      <w:r w:rsidR="00A90F61" w:rsidRPr="00515B26">
        <w:rPr>
          <w:rFonts w:ascii="Arial" w:hAnsi="Arial" w:cs="Arial"/>
          <w:spacing w:val="-3"/>
          <w:sz w:val="20"/>
        </w:rPr>
        <w:t xml:space="preserve"> Contractor’s services related to the Work. “</w:t>
      </w:r>
      <w:r w:rsidR="00A90F61" w:rsidRPr="00515B26">
        <w:rPr>
          <w:rFonts w:ascii="Arial" w:hAnsi="Arial" w:cs="Arial"/>
          <w:b/>
          <w:spacing w:val="-3"/>
          <w:sz w:val="20"/>
        </w:rPr>
        <w:t>Contractor IP</w:t>
      </w:r>
      <w:r w:rsidR="00A90F61" w:rsidRPr="00515B26">
        <w:rPr>
          <w:rFonts w:ascii="Arial" w:hAnsi="Arial" w:cs="Arial"/>
          <w:spacing w:val="-3"/>
          <w:sz w:val="20"/>
        </w:rPr>
        <w:t>” means a</w:t>
      </w:r>
      <w:r w:rsidRPr="00515B26">
        <w:rPr>
          <w:rFonts w:ascii="Arial" w:hAnsi="Arial" w:cs="Arial"/>
          <w:spacing w:val="-3"/>
          <w:sz w:val="20"/>
        </w:rPr>
        <w:t>ll tools, software and programs owned by Contractor</w:t>
      </w:r>
      <w:r w:rsidR="00025C6B" w:rsidRPr="00515B26">
        <w:rPr>
          <w:rFonts w:ascii="Arial" w:hAnsi="Arial" w:cs="Arial"/>
          <w:spacing w:val="-3"/>
          <w:sz w:val="20"/>
        </w:rPr>
        <w:t xml:space="preserve"> (lic</w:t>
      </w:r>
      <w:r w:rsidRPr="00515B26">
        <w:rPr>
          <w:rFonts w:ascii="Arial" w:hAnsi="Arial" w:cs="Arial"/>
          <w:spacing w:val="-3"/>
          <w:sz w:val="20"/>
        </w:rPr>
        <w:t>ensed to Contractor by a third party</w:t>
      </w:r>
      <w:r w:rsidR="00BE5733" w:rsidRPr="00515B26">
        <w:rPr>
          <w:rFonts w:ascii="Arial" w:hAnsi="Arial" w:cs="Arial"/>
          <w:spacing w:val="-3"/>
          <w:sz w:val="20"/>
        </w:rPr>
        <w:t xml:space="preserve"> licensor</w:t>
      </w:r>
      <w:r w:rsidR="00025C6B" w:rsidRPr="00515B26">
        <w:rPr>
          <w:rFonts w:ascii="Arial" w:hAnsi="Arial" w:cs="Arial"/>
          <w:spacing w:val="-3"/>
          <w:sz w:val="20"/>
        </w:rPr>
        <w:t>)</w:t>
      </w:r>
      <w:r w:rsidRPr="00515B26">
        <w:rPr>
          <w:rFonts w:ascii="Arial" w:hAnsi="Arial" w:cs="Arial"/>
          <w:spacing w:val="-3"/>
          <w:sz w:val="20"/>
        </w:rPr>
        <w:t xml:space="preserve"> that (1)</w:t>
      </w:r>
      <w:r w:rsidR="00025C6B" w:rsidRPr="00515B26">
        <w:rPr>
          <w:rFonts w:ascii="Arial" w:hAnsi="Arial" w:cs="Arial"/>
          <w:spacing w:val="-3"/>
          <w:sz w:val="20"/>
        </w:rPr>
        <w:t> </w:t>
      </w:r>
      <w:r w:rsidRPr="00515B26">
        <w:rPr>
          <w:rFonts w:ascii="Arial" w:hAnsi="Arial" w:cs="Arial"/>
          <w:spacing w:val="-3"/>
          <w:sz w:val="20"/>
        </w:rPr>
        <w:t xml:space="preserve">existed prior to the </w:t>
      </w:r>
      <w:r w:rsidR="00A90F61" w:rsidRPr="00515B26">
        <w:rPr>
          <w:rFonts w:ascii="Arial" w:hAnsi="Arial" w:cs="Arial"/>
          <w:spacing w:val="-3"/>
          <w:sz w:val="20"/>
        </w:rPr>
        <w:t>E</w:t>
      </w:r>
      <w:r w:rsidRPr="00515B26">
        <w:rPr>
          <w:rFonts w:ascii="Arial" w:hAnsi="Arial" w:cs="Arial"/>
          <w:spacing w:val="-3"/>
          <w:sz w:val="20"/>
        </w:rPr>
        <w:t xml:space="preserve">ffective </w:t>
      </w:r>
      <w:r w:rsidR="00A90F61" w:rsidRPr="00515B26">
        <w:rPr>
          <w:rFonts w:ascii="Arial" w:hAnsi="Arial" w:cs="Arial"/>
          <w:spacing w:val="-3"/>
          <w:sz w:val="20"/>
        </w:rPr>
        <w:t>D</w:t>
      </w:r>
      <w:r w:rsidRPr="00515B26">
        <w:rPr>
          <w:rFonts w:ascii="Arial" w:hAnsi="Arial" w:cs="Arial"/>
          <w:spacing w:val="-3"/>
          <w:sz w:val="20"/>
        </w:rPr>
        <w:t xml:space="preserve">ate and the commencement of </w:t>
      </w:r>
      <w:r w:rsidR="00A90F61" w:rsidRPr="00515B26">
        <w:rPr>
          <w:rFonts w:ascii="Arial" w:hAnsi="Arial" w:cs="Arial"/>
          <w:spacing w:val="-3"/>
          <w:sz w:val="20"/>
        </w:rPr>
        <w:t xml:space="preserve">the </w:t>
      </w:r>
      <w:r w:rsidRPr="00515B26">
        <w:rPr>
          <w:rFonts w:ascii="Arial" w:hAnsi="Arial" w:cs="Arial"/>
          <w:spacing w:val="-3"/>
          <w:sz w:val="20"/>
        </w:rPr>
        <w:t>Work</w:t>
      </w:r>
      <w:r w:rsidR="00F44F85" w:rsidRPr="00515B26">
        <w:rPr>
          <w:rFonts w:ascii="Arial" w:hAnsi="Arial" w:cs="Arial"/>
          <w:spacing w:val="-3"/>
          <w:sz w:val="20"/>
        </w:rPr>
        <w:t>; (2) are not related to</w:t>
      </w:r>
      <w:r w:rsidR="00A90F61" w:rsidRPr="00515B26">
        <w:rPr>
          <w:rFonts w:ascii="Arial" w:hAnsi="Arial" w:cs="Arial"/>
          <w:spacing w:val="-3"/>
          <w:sz w:val="20"/>
        </w:rPr>
        <w:t xml:space="preserve"> the</w:t>
      </w:r>
      <w:r w:rsidR="00F44F85" w:rsidRPr="00515B26">
        <w:rPr>
          <w:rFonts w:ascii="Arial" w:hAnsi="Arial" w:cs="Arial"/>
          <w:spacing w:val="-3"/>
          <w:sz w:val="20"/>
        </w:rPr>
        <w:t xml:space="preserve"> Work or to Contractor’s services in connection with the Work; </w:t>
      </w:r>
      <w:r w:rsidR="00A90F61" w:rsidRPr="00515B26">
        <w:rPr>
          <w:rFonts w:ascii="Arial" w:hAnsi="Arial" w:cs="Arial"/>
          <w:spacing w:val="-3"/>
          <w:sz w:val="20"/>
        </w:rPr>
        <w:t>or (3) were created by Contractor (or its licensor) totally separate from the Work or Contractor’s services in connection with the Work.</w:t>
      </w:r>
    </w:p>
    <w:p w:rsidR="00A90F61" w:rsidRPr="00515B26"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515B26">
        <w:rPr>
          <w:rFonts w:ascii="Arial" w:hAnsi="Arial" w:cs="Arial"/>
          <w:spacing w:val="-3"/>
          <w:sz w:val="20"/>
        </w:rPr>
        <w:t>7.</w:t>
      </w:r>
      <w:r w:rsidR="00125EEB" w:rsidRPr="00515B26">
        <w:rPr>
          <w:rFonts w:ascii="Arial" w:hAnsi="Arial" w:cs="Arial"/>
          <w:spacing w:val="-3"/>
          <w:sz w:val="20"/>
        </w:rPr>
        <w:tab/>
      </w:r>
      <w:r w:rsidR="00A90F61" w:rsidRPr="00515B26">
        <w:rPr>
          <w:rFonts w:ascii="Arial" w:hAnsi="Arial" w:cs="Arial"/>
          <w:spacing w:val="-3"/>
          <w:sz w:val="20"/>
        </w:rPr>
        <w:t>University grants Contractor a non-exclusive, worldwide, perpetual, irrevocable, sub</w:t>
      </w:r>
      <w:r w:rsidR="000F7511" w:rsidRPr="00515B26">
        <w:rPr>
          <w:rFonts w:ascii="Arial" w:hAnsi="Arial" w:cs="Arial"/>
          <w:spacing w:val="-3"/>
          <w:sz w:val="20"/>
        </w:rPr>
        <w:noBreakHyphen/>
      </w:r>
      <w:r w:rsidR="00A90F61" w:rsidRPr="00515B26">
        <w:rPr>
          <w:rFonts w:ascii="Arial" w:hAnsi="Arial" w:cs="Arial"/>
          <w:spacing w:val="-3"/>
          <w:sz w:val="20"/>
        </w:rPr>
        <w:t>licensable, royalty-free license to the Work Product Improvements to Contractor IP.</w:t>
      </w:r>
      <w:r w:rsidR="00A57169" w:rsidRPr="00515B26">
        <w:rPr>
          <w:rFonts w:ascii="Arial" w:hAnsi="Arial" w:cs="Arial"/>
          <w:spacing w:val="-3"/>
          <w:sz w:val="20"/>
        </w:rPr>
        <w:t xml:space="preserve"> </w:t>
      </w:r>
      <w:r w:rsidR="00125EEB" w:rsidRPr="00515B26">
        <w:rPr>
          <w:rFonts w:ascii="Arial" w:hAnsi="Arial" w:cs="Arial"/>
          <w:spacing w:val="-3"/>
          <w:sz w:val="20"/>
        </w:rPr>
        <w:t>“</w:t>
      </w:r>
      <w:r w:rsidR="00125EEB" w:rsidRPr="00515B26">
        <w:rPr>
          <w:rFonts w:ascii="Arial" w:hAnsi="Arial" w:cs="Arial"/>
          <w:b/>
          <w:spacing w:val="-3"/>
          <w:sz w:val="20"/>
        </w:rPr>
        <w:t>Work Product Improvements to Contractor IP</w:t>
      </w:r>
      <w:r w:rsidR="00125EEB" w:rsidRPr="00515B26">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515B26">
        <w:rPr>
          <w:rFonts w:ascii="Arial" w:hAnsi="Arial" w:cs="Arial"/>
          <w:b/>
          <w:spacing w:val="-3"/>
          <w:sz w:val="20"/>
        </w:rPr>
        <w:t>]</w:t>
      </w:r>
    </w:p>
    <w:p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 xml:space="preserve">and hold harmless University and </w:t>
      </w:r>
      <w:r w:rsidR="00512541" w:rsidRPr="007A54A3">
        <w:rPr>
          <w:rFonts w:ascii="Arial" w:hAnsi="Arial" w:cs="Arial"/>
          <w:b/>
          <w:bCs/>
          <w:smallCaps/>
          <w:sz w:val="20"/>
          <w:highlight w:val="cyan"/>
        </w:rPr>
        <w:t>[</w:t>
      </w:r>
      <w:r w:rsidR="00512541" w:rsidRPr="007A54A3">
        <w:rPr>
          <w:rFonts w:ascii="Arial" w:hAnsi="Arial" w:cs="Arial"/>
          <w:b/>
          <w:bCs/>
          <w:sz w:val="20"/>
          <w:highlight w:val="cyan"/>
          <w:u w:val="single"/>
        </w:rPr>
        <w:t>Option</w:t>
      </w:r>
      <w:r w:rsidR="00512541" w:rsidRPr="007A54A3">
        <w:rPr>
          <w:rFonts w:ascii="Arial" w:hAnsi="Arial" w:cs="Arial"/>
          <w:b/>
          <w:bCs/>
          <w:smallCaps/>
          <w:sz w:val="20"/>
          <w:highlight w:val="cyan"/>
        </w:rPr>
        <w:t xml:space="preserve"> (</w:t>
      </w:r>
      <w:r w:rsidR="00512541" w:rsidRPr="00D2323C">
        <w:rPr>
          <w:rFonts w:ascii="Arial" w:hAnsi="Arial" w:cs="Arial"/>
          <w:b/>
          <w:bCs/>
          <w:i/>
          <w:sz w:val="20"/>
          <w:highlight w:val="cyan"/>
        </w:rPr>
        <w:t>Delete</w:t>
      </w:r>
      <w:r w:rsidR="00512541" w:rsidRPr="007A54A3">
        <w:rPr>
          <w:rFonts w:ascii="Arial" w:hAnsi="Arial" w:cs="Arial"/>
          <w:b/>
          <w:bCs/>
          <w:sz w:val="20"/>
          <w:highlight w:val="cyan"/>
        </w:rPr>
        <w:t xml:space="preserve"> only if contracting party is UT System</w:t>
      </w:r>
      <w:r w:rsidR="00B531E5" w:rsidRPr="007A54A3">
        <w:rPr>
          <w:rFonts w:ascii="Arial" w:hAnsi="Arial" w:cs="Arial"/>
          <w:b/>
          <w:bCs/>
          <w:smallCaps/>
          <w:sz w:val="20"/>
          <w:highlight w:val="cyan"/>
        </w:rPr>
        <w:t>.</w:t>
      </w:r>
      <w:r w:rsidR="00512541" w:rsidRPr="007A54A3">
        <w:rPr>
          <w:rFonts w:ascii="Arial" w:hAnsi="Arial" w:cs="Arial"/>
          <w:b/>
          <w:bCs/>
          <w:smallCaps/>
          <w:sz w:val="20"/>
          <w:highlight w:val="cyan"/>
        </w:rPr>
        <w:t>):</w:t>
      </w:r>
      <w:r w:rsidR="00512541" w:rsidRPr="007A54A3">
        <w:rPr>
          <w:rFonts w:ascii="Arial" w:hAnsi="Arial" w:cs="Arial"/>
          <w:b/>
          <w:bCs/>
          <w:smallCaps/>
          <w:sz w:val="20"/>
        </w:rPr>
        <w:t xml:space="preserve"> , </w:t>
      </w:r>
      <w:r w:rsidR="00512541" w:rsidRPr="007A54A3">
        <w:rPr>
          <w:rFonts w:ascii="Arial" w:hAnsi="Arial" w:cs="Arial"/>
          <w:smallCaps/>
          <w:sz w:val="20"/>
        </w:rPr>
        <w:t>The University of Texas System</w:t>
      </w:r>
      <w:r w:rsidR="0055363A" w:rsidRPr="007A54A3">
        <w:rPr>
          <w:rFonts w:ascii="Arial" w:hAnsi="Arial" w:cs="Arial"/>
          <w:smallCaps/>
          <w:sz w:val="20"/>
        </w:rPr>
        <w:t>, and</w:t>
      </w:r>
      <w:r w:rsidR="00DB7ED3" w:rsidRPr="007A54A3">
        <w:rPr>
          <w:rFonts w:ascii="Arial" w:hAnsi="Arial" w:cs="Arial"/>
          <w:b/>
          <w:smallCaps/>
          <w:sz w:val="20"/>
          <w:highlight w:val="cyan"/>
        </w:rPr>
        <w:t>]</w:t>
      </w:r>
      <w:r w:rsidR="0055363A" w:rsidRPr="007A54A3">
        <w:rPr>
          <w:rFonts w:ascii="Arial" w:hAnsi="Arial" w:cs="Arial"/>
          <w:smallCaps/>
          <w:sz w:val="20"/>
        </w:rPr>
        <w:t xml:space="preserve">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rsidR="00A02F4F" w:rsidRPr="007A54A3" w:rsidRDefault="00A02F4F" w:rsidP="00A02F4F">
      <w:pPr>
        <w:keepNext/>
        <w:keepLines/>
        <w:tabs>
          <w:tab w:val="left" w:pos="-720"/>
        </w:tabs>
        <w:suppressAutoHyphens/>
        <w:jc w:val="both"/>
        <w:rPr>
          <w:rFonts w:ascii="Arial" w:hAnsi="Arial" w:cs="Arial"/>
          <w:sz w:val="20"/>
        </w:rPr>
      </w:pPr>
    </w:p>
    <w:p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rsidR="002701F2" w:rsidRPr="00E17CAA" w:rsidRDefault="002701F2">
      <w:pPr>
        <w:keepNext/>
        <w:keepLines/>
        <w:tabs>
          <w:tab w:val="left" w:pos="-720"/>
        </w:tabs>
        <w:suppressAutoHyphens/>
        <w:ind w:left="2160" w:hanging="720"/>
        <w:jc w:val="both"/>
        <w:rPr>
          <w:rFonts w:ascii="Arial" w:hAnsi="Arial" w:cs="Arial"/>
          <w:sz w:val="20"/>
        </w:rPr>
      </w:pP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rsidR="002701F2" w:rsidRPr="00E17CAA" w:rsidRDefault="002701F2" w:rsidP="002C6AC3">
      <w:pPr>
        <w:ind w:left="2160"/>
        <w:jc w:val="both"/>
        <w:rPr>
          <w:rFonts w:ascii="Arial" w:hAnsi="Arial" w:cs="Arial"/>
          <w:sz w:val="20"/>
        </w:rPr>
      </w:pPr>
    </w:p>
    <w:p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rsidR="002701F2" w:rsidRPr="00E17CAA" w:rsidRDefault="002701F2" w:rsidP="002C6AC3">
      <w:pPr>
        <w:ind w:left="2160"/>
        <w:jc w:val="both"/>
        <w:rPr>
          <w:rFonts w:ascii="Arial" w:hAnsi="Arial" w:cs="Arial"/>
          <w:sz w:val="20"/>
        </w:rPr>
      </w:pPr>
    </w:p>
    <w:p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rsidR="002701F2" w:rsidRPr="002701F2" w:rsidRDefault="002701F2" w:rsidP="002701F2">
      <w:pPr>
        <w:ind w:left="1440"/>
        <w:jc w:val="both"/>
        <w:rPr>
          <w:rFonts w:ascii="Arial" w:hAnsi="Arial" w:cs="Arial"/>
          <w:sz w:val="20"/>
        </w:rPr>
      </w:pPr>
    </w:p>
    <w:p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rsidR="002701F2" w:rsidRPr="002701F2" w:rsidRDefault="002701F2" w:rsidP="002C6AC3">
      <w:pPr>
        <w:ind w:left="2160"/>
        <w:jc w:val="both"/>
        <w:rPr>
          <w:rFonts w:ascii="Arial" w:hAnsi="Arial" w:cs="Arial"/>
          <w:sz w:val="20"/>
        </w:rPr>
      </w:pPr>
    </w:p>
    <w:p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7" w:name="One"/>
      <w:bookmarkEnd w:id="7"/>
    </w:p>
    <w:p w:rsidR="00A02F4F" w:rsidRPr="007A54A3" w:rsidRDefault="00A02F4F" w:rsidP="00A02F4F">
      <w:pPr>
        <w:jc w:val="both"/>
        <w:rPr>
          <w:rFonts w:ascii="Arial" w:hAnsi="Arial" w:cs="Arial"/>
          <w:sz w:val="20"/>
        </w:rPr>
      </w:pPr>
    </w:p>
    <w:p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rsidR="009674ED" w:rsidRPr="009674ED" w:rsidRDefault="009674ED" w:rsidP="009674ED">
      <w:pPr>
        <w:ind w:left="2160" w:hanging="720"/>
        <w:jc w:val="both"/>
        <w:rPr>
          <w:rFonts w:ascii="Arial" w:hAnsi="Arial" w:cs="Arial"/>
          <w:sz w:val="20"/>
        </w:rPr>
      </w:pPr>
      <w:r w:rsidRPr="009674ED">
        <w:rPr>
          <w:rFonts w:ascii="Arial" w:hAnsi="Arial" w:cs="Arial"/>
          <w:sz w:val="20"/>
        </w:rPr>
        <w:tab/>
      </w:r>
    </w:p>
    <w:p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rsidR="00A02F4F" w:rsidRPr="007A54A3" w:rsidRDefault="00A02F4F" w:rsidP="009674ED">
      <w:pPr>
        <w:ind w:left="2160" w:hanging="720"/>
        <w:jc w:val="both"/>
        <w:rPr>
          <w:rFonts w:ascii="Arial" w:hAnsi="Arial" w:cs="Arial"/>
          <w:sz w:val="20"/>
        </w:rPr>
      </w:pPr>
    </w:p>
    <w:p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xml:space="preserve">: Limit amount should be adequate to cover University’s </w:t>
      </w:r>
      <w:r w:rsidRPr="00E17CAA">
        <w:rPr>
          <w:rFonts w:ascii="Arial" w:hAnsi="Arial" w:cs="Arial"/>
          <w:b/>
          <w:sz w:val="20"/>
          <w:highlight w:val="yellow"/>
        </w:rPr>
        <w:lastRenderedPageBreak/>
        <w:t>exposure. Appropriate limit will depend on the subject matter of this Agreement.]</w:t>
      </w:r>
    </w:p>
    <w:p w:rsidR="009674ED" w:rsidRPr="00E17CAA" w:rsidRDefault="009674ED">
      <w:pPr>
        <w:tabs>
          <w:tab w:val="left" w:pos="2160"/>
        </w:tabs>
        <w:ind w:left="1440" w:hanging="720"/>
        <w:jc w:val="both"/>
        <w:rPr>
          <w:rFonts w:ascii="Arial" w:hAnsi="Arial" w:cs="Arial"/>
          <w:b/>
          <w:sz w:val="20"/>
        </w:rPr>
      </w:pPr>
    </w:p>
    <w:p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rsidR="006228BE" w:rsidRPr="00E17CAA" w:rsidRDefault="006228BE">
      <w:pPr>
        <w:tabs>
          <w:tab w:val="left" w:pos="2160"/>
        </w:tabs>
        <w:ind w:left="1440"/>
        <w:jc w:val="both"/>
        <w:rPr>
          <w:rFonts w:ascii="Arial" w:hAnsi="Arial" w:cs="Arial"/>
          <w:b/>
          <w:sz w:val="20"/>
        </w:rPr>
      </w:pPr>
    </w:p>
    <w:p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rsidR="006228BE" w:rsidRPr="00E17CAA" w:rsidRDefault="006228BE">
      <w:pPr>
        <w:keepNext/>
        <w:keepLines/>
        <w:tabs>
          <w:tab w:val="left" w:pos="-720"/>
        </w:tabs>
        <w:suppressAutoHyphens/>
        <w:ind w:left="1440" w:hanging="720"/>
        <w:jc w:val="both"/>
        <w:rPr>
          <w:rFonts w:ascii="Arial" w:hAnsi="Arial" w:cs="Arial"/>
          <w:b/>
          <w:spacing w:val="-3"/>
          <w:sz w:val="20"/>
        </w:rPr>
      </w:pPr>
    </w:p>
    <w:p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rsidR="00A02F4F" w:rsidRPr="007A54A3" w:rsidRDefault="00A02F4F" w:rsidP="002C6AC3">
      <w:pPr>
        <w:ind w:left="1440" w:hanging="720"/>
        <w:jc w:val="both"/>
        <w:rPr>
          <w:rFonts w:ascii="Arial" w:hAnsi="Arial" w:cs="Arial"/>
          <w:sz w:val="20"/>
        </w:rPr>
      </w:pPr>
    </w:p>
    <w:p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rsidR="00A02F4F" w:rsidRDefault="00A02F4F" w:rsidP="00A02F4F">
      <w:pPr>
        <w:keepNext/>
        <w:keepLines/>
        <w:jc w:val="both"/>
        <w:rPr>
          <w:rFonts w:ascii="Arial" w:hAnsi="Arial" w:cs="Arial"/>
          <w:sz w:val="20"/>
        </w:rPr>
      </w:pPr>
    </w:p>
    <w:p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lastRenderedPageBreak/>
        <w:t>Expenses related to regulatory compliance, government investigations, fines, fees assessments and penalties;</w:t>
      </w:r>
    </w:p>
    <w:p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rsidR="006228BE" w:rsidRPr="0081195A" w:rsidRDefault="006228BE" w:rsidP="006228BE">
      <w:pPr>
        <w:ind w:left="1440"/>
        <w:jc w:val="both"/>
        <w:rPr>
          <w:rFonts w:ascii="Arial" w:eastAsiaTheme="minorHAnsi" w:hAnsi="Arial" w:cs="Arial"/>
          <w:sz w:val="20"/>
          <w:highlight w:val="lightGray"/>
        </w:rPr>
      </w:pPr>
    </w:p>
    <w:p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rsidR="006228BE" w:rsidRPr="007A54A3" w:rsidRDefault="006228BE" w:rsidP="00A02F4F">
      <w:pPr>
        <w:keepNext/>
        <w:keepLines/>
        <w:jc w:val="both"/>
        <w:rPr>
          <w:rFonts w:ascii="Arial" w:hAnsi="Arial" w:cs="Arial"/>
          <w:sz w:val="20"/>
        </w:rPr>
      </w:pPr>
    </w:p>
    <w:p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rsidR="00C72138" w:rsidRPr="00E17CAA" w:rsidRDefault="00C72138" w:rsidP="002C6AC3">
      <w:pPr>
        <w:ind w:left="1440" w:hanging="720"/>
        <w:contextualSpacing/>
        <w:rPr>
          <w:rFonts w:ascii="Arial" w:hAnsi="Arial" w:cs="Arial"/>
          <w:sz w:val="20"/>
        </w:rPr>
      </w:pPr>
    </w:p>
    <w:p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515B26" w:rsidRPr="004B03AA" w:rsidRDefault="00515B26" w:rsidP="00515B26">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UTHealth Procurement Services</w:t>
      </w:r>
    </w:p>
    <w:p w:rsidR="00515B26" w:rsidRDefault="00515B26" w:rsidP="00515B26">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t>1851 Crosspoint, OCB 1.160</w:t>
      </w:r>
    </w:p>
    <w:p w:rsidR="00515B26" w:rsidRPr="004B03AA" w:rsidRDefault="00515B26" w:rsidP="00515B26">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515B26" w:rsidRDefault="00515B26" w:rsidP="00515B26">
      <w:pPr>
        <w:ind w:left="3600"/>
        <w:jc w:val="both"/>
        <w:rPr>
          <w:rFonts w:ascii="Arial" w:hAnsi="Arial"/>
          <w:sz w:val="20"/>
        </w:rPr>
      </w:pPr>
      <w:r w:rsidRPr="004B03AA">
        <w:rPr>
          <w:rFonts w:ascii="Arial" w:hAnsi="Arial"/>
          <w:sz w:val="20"/>
        </w:rPr>
        <w:t>Facsimile Number:</w:t>
      </w:r>
      <w:r>
        <w:rPr>
          <w:rFonts w:ascii="Arial" w:hAnsi="Arial"/>
          <w:sz w:val="20"/>
        </w:rPr>
        <w:tab/>
        <w:t>713-500-4710</w:t>
      </w:r>
    </w:p>
    <w:p w:rsidR="00A02F4F" w:rsidRDefault="00515B26" w:rsidP="00515B26">
      <w:pPr>
        <w:ind w:left="3600"/>
        <w:jc w:val="both"/>
        <w:rPr>
          <w:rFonts w:ascii="Arial" w:hAnsi="Arial" w:cs="Arial"/>
          <w:sz w:val="20"/>
        </w:rPr>
      </w:pPr>
      <w:r>
        <w:rPr>
          <w:rFonts w:ascii="Arial" w:hAnsi="Arial"/>
          <w:sz w:val="20"/>
        </w:rPr>
        <w:t>Email Address:</w:t>
      </w:r>
      <w:r>
        <w:rPr>
          <w:rFonts w:ascii="Arial" w:hAnsi="Arial"/>
          <w:sz w:val="20"/>
        </w:rPr>
        <w:tab/>
      </w:r>
      <w:r>
        <w:rPr>
          <w:rFonts w:ascii="Arial" w:hAnsi="Arial"/>
          <w:sz w:val="20"/>
        </w:rPr>
        <w:tab/>
      </w:r>
      <w:hyperlink r:id="rId23" w:history="1">
        <w:r w:rsidRPr="0010063B">
          <w:rPr>
            <w:rStyle w:val="Hyperlink"/>
            <w:rFonts w:ascii="Arial" w:hAnsi="Arial"/>
            <w:sz w:val="20"/>
          </w:rPr>
          <w:t>procurementservices@uth.tmc.edu</w:t>
        </w:r>
      </w:hyperlink>
      <w:r w:rsidR="00A02F4F" w:rsidRPr="007A54A3">
        <w:rPr>
          <w:rFonts w:ascii="Arial" w:hAnsi="Arial" w:cs="Arial"/>
          <w:sz w:val="20"/>
        </w:rPr>
        <w:t xml:space="preserve"> </w:t>
      </w:r>
    </w:p>
    <w:p w:rsidR="00515B26" w:rsidRPr="007A54A3" w:rsidRDefault="00515B26" w:rsidP="00B46140">
      <w:pPr>
        <w:ind w:left="3600"/>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515B2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w:t>
      </w:r>
      <w:r w:rsidRPr="007A54A3">
        <w:rPr>
          <w:rFonts w:ascii="Arial" w:hAnsi="Arial" w:cs="Arial"/>
          <w:b/>
          <w:sz w:val="20"/>
          <w:highlight w:val="yellow"/>
        </w:rPr>
        <w:lastRenderedPageBreak/>
        <w:t xml:space="preserve">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w:t>
      </w:r>
      <w:r w:rsidRPr="007A54A3">
        <w:rPr>
          <w:rFonts w:ascii="Arial" w:hAnsi="Arial" w:cs="Arial"/>
          <w:color w:val="000000"/>
          <w:sz w:val="20"/>
        </w:rPr>
        <w:lastRenderedPageBreak/>
        <w:t xml:space="preserve">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rsidR="00C14819" w:rsidRPr="00E07694" w:rsidRDefault="00C14819" w:rsidP="002739D2">
      <w:pPr>
        <w:tabs>
          <w:tab w:val="left" w:pos="1440"/>
        </w:tabs>
        <w:ind w:left="2160" w:hanging="720"/>
        <w:jc w:val="both"/>
        <w:rPr>
          <w:rFonts w:ascii="Arial" w:eastAsia="Arial Unicode MS" w:hAnsi="Arial" w:cs="Arial"/>
          <w:sz w:val="20"/>
        </w:rPr>
      </w:pPr>
    </w:p>
    <w:p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 xml:space="preserve">Texas </w:t>
      </w:r>
      <w:r w:rsidR="00CB1B01" w:rsidRPr="00E07694">
        <w:rPr>
          <w:rFonts w:ascii="Arial" w:hAnsi="Arial" w:cs="Arial"/>
          <w:i/>
          <w:sz w:val="20"/>
        </w:rPr>
        <w:lastRenderedPageBreak/>
        <w:t>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rsidR="00C14819" w:rsidRPr="00E07694" w:rsidRDefault="00C14819" w:rsidP="002739D2">
      <w:pPr>
        <w:tabs>
          <w:tab w:val="left" w:pos="1440"/>
        </w:tabs>
        <w:ind w:left="2160" w:hanging="720"/>
        <w:jc w:val="both"/>
        <w:rPr>
          <w:rFonts w:ascii="Arial" w:hAnsi="Arial" w:cs="Arial"/>
          <w:spacing w:val="-3"/>
          <w:sz w:val="20"/>
        </w:rPr>
      </w:pPr>
    </w:p>
    <w:p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515B26" w:rsidRPr="00C93C4B" w:rsidRDefault="00371A6A" w:rsidP="00515B26">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515B26" w:rsidRPr="00C93C4B">
        <w:rPr>
          <w:rFonts w:ascii="Arial" w:hAnsi="Arial"/>
          <w:spacing w:val="-3"/>
          <w:sz w:val="20"/>
        </w:rPr>
        <w:t>The University of Texas Health Science Center at Houston</w:t>
      </w:r>
    </w:p>
    <w:p w:rsidR="00515B26" w:rsidRPr="00C93C4B" w:rsidRDefault="00515B26" w:rsidP="00515B26">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515B26" w:rsidRPr="00C93C4B" w:rsidRDefault="00515B26" w:rsidP="00515B26">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1851 Crosspoint,  OCB1.160</w:t>
      </w:r>
    </w:p>
    <w:p w:rsidR="00515B26" w:rsidRPr="00C93C4B" w:rsidRDefault="00515B26" w:rsidP="00515B26">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515B26" w:rsidRPr="007A54A3" w:rsidRDefault="00515B26" w:rsidP="00515B26">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515B26" w:rsidRPr="007A54A3" w:rsidRDefault="00515B26" w:rsidP="00515B2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w:t>
      </w:r>
      <w:r>
        <w:rPr>
          <w:rFonts w:ascii="Arial" w:hAnsi="Arial" w:cs="Arial"/>
          <w:spacing w:val="-3"/>
          <w:sz w:val="20"/>
        </w:rPr>
        <w:t xml:space="preserve">: </w:t>
      </w:r>
      <w:hyperlink r:id="rId45" w:history="1">
        <w:r w:rsidRPr="004E1DB2">
          <w:rPr>
            <w:rStyle w:val="Hyperlink"/>
            <w:rFonts w:ascii="Arial" w:hAnsi="Arial" w:cs="Arial"/>
            <w:spacing w:val="-3"/>
            <w:sz w:val="20"/>
          </w:rPr>
          <w:t>procurementservices@uth.tmc.edu</w:t>
        </w:r>
      </w:hyperlink>
      <w:r>
        <w:rPr>
          <w:rFonts w:ascii="Arial" w:hAnsi="Arial" w:cs="Arial"/>
          <w:spacing w:val="-3"/>
          <w:sz w:val="20"/>
        </w:rPr>
        <w:t xml:space="preserve"> </w:t>
      </w:r>
    </w:p>
    <w:p w:rsidR="00371A6A" w:rsidRPr="007A54A3" w:rsidRDefault="00515B26" w:rsidP="00515B26">
      <w:pPr>
        <w:widowControl w:val="0"/>
        <w:numPr>
          <w:ilvl w:val="12"/>
          <w:numId w:val="0"/>
        </w:numPr>
        <w:tabs>
          <w:tab w:val="left" w:pos="-720"/>
          <w:tab w:val="left" w:pos="1080"/>
          <w:tab w:val="left" w:pos="180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ab/>
      </w:r>
      <w:r>
        <w:rPr>
          <w:rFonts w:ascii="Arial" w:hAnsi="Arial" w:cs="Arial"/>
          <w:spacing w:val="-3"/>
          <w:sz w:val="20"/>
        </w:rPr>
        <w:tab/>
      </w:r>
      <w:r w:rsidRPr="007A54A3">
        <w:rPr>
          <w:rFonts w:ascii="Arial" w:hAnsi="Arial" w:cs="Arial"/>
          <w:spacing w:val="-3"/>
          <w:sz w:val="20"/>
        </w:rPr>
        <w:t xml:space="preserve">Attention: </w:t>
      </w:r>
      <w:r>
        <w:rPr>
          <w:rFonts w:ascii="Arial" w:hAnsi="Arial" w:cs="Arial"/>
          <w:spacing w:val="-3"/>
          <w:sz w:val="20"/>
        </w:rPr>
        <w:t>Procurement Services</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6"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7"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8"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and even if such 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49"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w:t>
      </w:r>
      <w:r w:rsidR="00B13098" w:rsidRPr="007A54A3">
        <w:rPr>
          <w:rFonts w:ascii="Arial" w:hAnsi="Arial" w:cs="Arial"/>
          <w:color w:val="000000"/>
          <w:sz w:val="20"/>
        </w:rPr>
        <w:lastRenderedPageBreak/>
        <w:t>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0"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1"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2"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6"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7"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58"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59"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0"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lastRenderedPageBreak/>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1"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2"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3"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Default="00AF111C" w:rsidP="00515B26">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515B26" w:rsidRPr="007A54A3">
        <w:rPr>
          <w:rFonts w:ascii="Arial" w:hAnsi="Arial" w:cs="Arial"/>
          <w:b/>
          <w:bCs/>
          <w:sz w:val="20"/>
        </w:rPr>
        <w:t>Ethics Matters;</w:t>
      </w:r>
      <w:r w:rsidR="00515B26" w:rsidRPr="007A54A3">
        <w:rPr>
          <w:rFonts w:ascii="Arial" w:hAnsi="Arial" w:cs="Arial"/>
          <w:sz w:val="20"/>
        </w:rPr>
        <w:t xml:space="preserve"> </w:t>
      </w:r>
      <w:r w:rsidR="00515B26" w:rsidRPr="007A54A3">
        <w:rPr>
          <w:rFonts w:ascii="Arial" w:hAnsi="Arial" w:cs="Arial"/>
          <w:b/>
          <w:bCs/>
          <w:sz w:val="20"/>
        </w:rPr>
        <w:t>No Financial Interest.</w:t>
      </w:r>
      <w:r w:rsidR="00515B26" w:rsidRPr="007A54A3">
        <w:rPr>
          <w:rFonts w:ascii="Arial" w:hAnsi="Arial" w:cs="Arial"/>
          <w:sz w:val="20"/>
        </w:rPr>
        <w:t xml:space="preserve"> Contractor and its employees, agents, representatives and subcontractors have read and understand University’s Conflicts of Interest Policy at </w:t>
      </w:r>
      <w:hyperlink r:id="rId64" w:history="1">
        <w:r w:rsidR="00515B26" w:rsidRPr="00C93C4B">
          <w:rPr>
            <w:rStyle w:val="Hyperlink"/>
            <w:rFonts w:ascii="Arial" w:hAnsi="Arial" w:cs="Arial"/>
            <w:sz w:val="20"/>
          </w:rPr>
          <w:t>http://www.uthouston.edu/hoop/policy.htm?id=1447888</w:t>
        </w:r>
      </w:hyperlink>
      <w:r w:rsidR="00515B26" w:rsidRPr="007A54A3">
        <w:rPr>
          <w:rFonts w:ascii="Arial" w:hAnsi="Arial" w:cs="Arial"/>
          <w:sz w:val="20"/>
        </w:rPr>
        <w:t xml:space="preserve">, University’s Standards of Conduct Guide at </w:t>
      </w:r>
      <w:hyperlink r:id="rId65" w:history="1">
        <w:r w:rsidR="00515B26" w:rsidRPr="00C93C4B">
          <w:rPr>
            <w:rStyle w:val="Hyperlink"/>
            <w:rFonts w:ascii="Arial" w:hAnsi="Arial" w:cs="Arial"/>
            <w:sz w:val="20"/>
          </w:rPr>
          <w:t>http://www.uthouston.edu/hoop/standards-of-conduct-guide.htm</w:t>
        </w:r>
      </w:hyperlink>
      <w:r w:rsidR="00515B26" w:rsidRPr="007A54A3">
        <w:rPr>
          <w:rFonts w:ascii="Arial" w:hAnsi="Arial" w:cs="Arial"/>
          <w:sz w:val="20"/>
        </w:rPr>
        <w:t>, and applicable state ethics laws and rules at</w:t>
      </w:r>
      <w:r w:rsidR="00515B26">
        <w:rPr>
          <w:rFonts w:ascii="Arial" w:hAnsi="Arial" w:cs="Arial"/>
          <w:sz w:val="20"/>
        </w:rPr>
        <w:t xml:space="preserve"> </w:t>
      </w:r>
      <w:hyperlink r:id="rId66" w:history="1">
        <w:r w:rsidR="00515B26" w:rsidRPr="00A80FAB">
          <w:rPr>
            <w:rStyle w:val="Hyperlink"/>
            <w:rFonts w:ascii="Arial" w:hAnsi="Arial" w:cs="Arial"/>
            <w:sz w:val="20"/>
          </w:rPr>
          <w:t>http://utsystem.edu/offices/general-counsel/ethics</w:t>
        </w:r>
      </w:hyperlink>
      <w:r w:rsidR="00515B26" w:rsidRPr="007A54A3">
        <w:rPr>
          <w:rFonts w:ascii="Arial" w:hAnsi="Arial" w:cs="Arial"/>
          <w:color w:val="000000"/>
          <w:sz w:val="20"/>
        </w:rPr>
        <w:t>. Ne</w:t>
      </w:r>
      <w:r w:rsidR="00515B26"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515B26" w:rsidRPr="007A54A3" w:rsidRDefault="00515B26" w:rsidP="00515B26">
      <w:pPr>
        <w:keepNext/>
        <w:keepLines/>
        <w:ind w:left="1440" w:hanging="720"/>
        <w:jc w:val="both"/>
        <w:rPr>
          <w:rFonts w:ascii="Arial" w:hAnsi="Arial" w:cs="Arial"/>
          <w:b/>
          <w:sz w:val="20"/>
          <w:highlight w:val="cyan"/>
        </w:rPr>
      </w:pPr>
    </w:p>
    <w:p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7"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68"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69"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0"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w:t>
      </w:r>
      <w:r w:rsidR="00F82C72" w:rsidRPr="007A54A3">
        <w:rPr>
          <w:rFonts w:ascii="Arial" w:hAnsi="Arial" w:cs="Arial"/>
          <w:sz w:val="20"/>
        </w:rPr>
        <w:lastRenderedPageBreak/>
        <w:t xml:space="preserve">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1"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2"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3"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4"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5"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6"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7"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8"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9"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0"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1"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3"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5"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t>
      </w:r>
      <w:r w:rsidRPr="007A54A3">
        <w:rPr>
          <w:rFonts w:ascii="Arial" w:hAnsi="Arial" w:cs="Arial"/>
          <w:spacing w:val="-3"/>
          <w:sz w:val="20"/>
        </w:rPr>
        <w:lastRenderedPageBreak/>
        <w:t xml:space="preserve">with </w:t>
      </w:r>
      <w:hyperlink r:id="rId86"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7"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8"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9"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0"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1"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2"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3"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515B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w:t>
      </w:r>
      <w:r w:rsidR="002D5B57" w:rsidRPr="001B2733">
        <w:rPr>
          <w:rFonts w:ascii="Arial" w:hAnsi="Arial" w:cs="Arial"/>
          <w:sz w:val="20"/>
        </w:rPr>
        <w:lastRenderedPageBreak/>
        <w:t>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4"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5"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6"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7"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8"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9"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0"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1"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2"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3"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4"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5"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4178E0" w:rsidRDefault="004178E0" w:rsidP="002739D2">
      <w:pPr>
        <w:widowControl w:val="0"/>
        <w:tabs>
          <w:tab w:val="left" w:pos="-720"/>
        </w:tabs>
        <w:suppressAutoHyphens/>
        <w:ind w:left="1440" w:hanging="720"/>
        <w:jc w:val="both"/>
        <w:rPr>
          <w:rFonts w:ascii="Arial" w:hAnsi="Arial" w:cs="Arial"/>
          <w:sz w:val="20"/>
        </w:rPr>
      </w:pPr>
    </w:p>
    <w:p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6"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7"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08"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09"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rsidR="007B2461" w:rsidRDefault="007B2461" w:rsidP="007B2461">
      <w:pPr>
        <w:ind w:left="1440" w:hanging="705"/>
        <w:jc w:val="both"/>
        <w:rPr>
          <w:rFonts w:ascii="Arial" w:hAnsi="Arial" w:cs="Arial"/>
          <w:spacing w:val="-3"/>
          <w:sz w:val="20"/>
        </w:rPr>
      </w:pPr>
    </w:p>
    <w:p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0"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1"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lastRenderedPageBreak/>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2"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3"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4"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rsidR="007B2461" w:rsidRDefault="007B2461" w:rsidP="007B2461">
      <w:pPr>
        <w:tabs>
          <w:tab w:val="left" w:pos="-720"/>
          <w:tab w:val="left" w:pos="0"/>
        </w:tabs>
        <w:suppressAutoHyphens/>
        <w:ind w:left="1440" w:hanging="705"/>
        <w:jc w:val="both"/>
        <w:rPr>
          <w:rFonts w:ascii="Arial" w:hAnsi="Arial" w:cs="Arial"/>
          <w:spacing w:val="-3"/>
          <w:sz w:val="20"/>
        </w:rPr>
      </w:pPr>
    </w:p>
    <w:p w:rsidR="009C413D" w:rsidRDefault="00FA13B0" w:rsidP="009C413D">
      <w:pPr>
        <w:tabs>
          <w:tab w:val="left" w:pos="-720"/>
          <w:tab w:val="left" w:pos="0"/>
        </w:tabs>
        <w:suppressAutoHyphens/>
        <w:ind w:left="1440" w:hanging="705"/>
        <w:jc w:val="both"/>
        <w:rPr>
          <w:rFonts w:ascii="Arial" w:hAnsi="Arial" w:cs="Arial"/>
          <w:b/>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rsidR="00515B26" w:rsidRDefault="00515B26" w:rsidP="009C413D">
      <w:pPr>
        <w:tabs>
          <w:tab w:val="left" w:pos="-720"/>
          <w:tab w:val="left" w:pos="0"/>
        </w:tabs>
        <w:suppressAutoHyphens/>
        <w:ind w:left="1440" w:hanging="705"/>
        <w:jc w:val="both"/>
        <w:rPr>
          <w:rFonts w:ascii="Arial" w:hAnsi="Arial" w:cs="Arial"/>
          <w:b/>
          <w:spacing w:val="-3"/>
          <w:sz w:val="20"/>
        </w:rPr>
      </w:pPr>
    </w:p>
    <w:p w:rsidR="00515B26" w:rsidRDefault="00515B26" w:rsidP="009C413D">
      <w:pPr>
        <w:tabs>
          <w:tab w:val="left" w:pos="-720"/>
          <w:tab w:val="left" w:pos="0"/>
        </w:tabs>
        <w:suppressAutoHyphens/>
        <w:ind w:left="1440" w:hanging="705"/>
        <w:jc w:val="both"/>
        <w:rPr>
          <w:rFonts w:ascii="Arial" w:hAnsi="Arial" w:cs="Arial"/>
          <w:sz w:val="20"/>
        </w:rPr>
      </w:pPr>
      <w:r>
        <w:rPr>
          <w:rFonts w:ascii="Arial" w:hAnsi="Arial" w:cs="Arial"/>
          <w:spacing w:val="-3"/>
          <w:sz w:val="20"/>
        </w:rPr>
        <w:t>12.45</w:t>
      </w:r>
      <w:r>
        <w:rPr>
          <w:rFonts w:ascii="Arial" w:hAnsi="Arial" w:cs="Arial"/>
          <w:spacing w:val="-3"/>
          <w:sz w:val="20"/>
        </w:rPr>
        <w:tab/>
      </w:r>
      <w:r>
        <w:rPr>
          <w:rFonts w:ascii="Arial" w:hAnsi="Arial" w:cs="Arial"/>
          <w:b/>
          <w:sz w:val="20"/>
        </w:rPr>
        <w:t xml:space="preserve">Group Purchase Authority. </w:t>
      </w:r>
      <w:r>
        <w:rPr>
          <w:rFonts w:ascii="Arial" w:hAnsi="Arial" w:cs="Arial"/>
          <w:sz w:val="20"/>
        </w:rPr>
        <w:t xml:space="preserve">Texas law authorizes institutions of higher education (defined by </w:t>
      </w:r>
      <w:hyperlink r:id="rId115" w:anchor="61.003" w:history="1">
        <w:r>
          <w:rPr>
            <w:rStyle w:val="Hyperlink"/>
            <w:rFonts w:ascii="Arial" w:hAnsi="Arial" w:cs="Arial"/>
            <w:sz w:val="20"/>
          </w:rPr>
          <w:t xml:space="preserve">§61.003, </w:t>
        </w:r>
        <w:r>
          <w:rPr>
            <w:rStyle w:val="Hyperlink"/>
            <w:rFonts w:ascii="Arial" w:hAnsi="Arial" w:cs="Arial"/>
            <w:i/>
            <w:sz w:val="20"/>
          </w:rPr>
          <w:t>Education Code</w:t>
        </w:r>
      </w:hyperlink>
      <w:r>
        <w:rPr>
          <w:rFonts w:ascii="Arial" w:hAnsi="Arial" w:cs="Arial"/>
          <w:sz w:val="20"/>
        </w:rPr>
        <w:t>) to use the group purchasing procurement method (ref. §§</w:t>
      </w:r>
      <w:hyperlink r:id="rId116" w:anchor="51.9335" w:history="1">
        <w:r>
          <w:rPr>
            <w:rStyle w:val="Hyperlink"/>
            <w:rFonts w:ascii="Arial" w:hAnsi="Arial" w:cs="Arial"/>
            <w:sz w:val="20"/>
          </w:rPr>
          <w:t>51.9335</w:t>
        </w:r>
      </w:hyperlink>
      <w:r>
        <w:rPr>
          <w:rFonts w:ascii="Arial" w:hAnsi="Arial" w:cs="Arial"/>
          <w:sz w:val="20"/>
        </w:rPr>
        <w:t xml:space="preserve">, </w:t>
      </w:r>
      <w:hyperlink r:id="rId117" w:anchor="73.115" w:history="1">
        <w:r>
          <w:rPr>
            <w:rStyle w:val="Hyperlink"/>
            <w:rFonts w:ascii="Arial" w:hAnsi="Arial" w:cs="Arial"/>
            <w:sz w:val="20"/>
          </w:rPr>
          <w:t>73.115</w:t>
        </w:r>
      </w:hyperlink>
      <w:r>
        <w:rPr>
          <w:rFonts w:ascii="Arial" w:hAnsi="Arial" w:cs="Arial"/>
          <w:sz w:val="20"/>
        </w:rPr>
        <w:t xml:space="preserve">, and </w:t>
      </w:r>
      <w:hyperlink r:id="rId118" w:anchor="74.008" w:history="1">
        <w:r>
          <w:rPr>
            <w:rStyle w:val="Hyperlink"/>
            <w:rFonts w:ascii="Arial" w:hAnsi="Arial" w:cs="Arial"/>
            <w:sz w:val="20"/>
          </w:rPr>
          <w:t>74.008</w:t>
        </w:r>
      </w:hyperlink>
      <w:r>
        <w:rPr>
          <w:rFonts w:ascii="Arial" w:hAnsi="Arial" w:cs="Arial"/>
          <w:sz w:val="20"/>
        </w:rPr>
        <w:t xml:space="preserve">, </w:t>
      </w:r>
      <w:r>
        <w:rPr>
          <w:rFonts w:ascii="Arial" w:hAnsi="Arial"/>
          <w:i/>
          <w:sz w:val="20"/>
        </w:rPr>
        <w:t>Education Code</w:t>
      </w:r>
      <w:r>
        <w:rPr>
          <w:rFonts w:ascii="Arial" w:hAnsi="Arial" w:cs="Arial"/>
          <w:sz w:val="20"/>
        </w:rPr>
        <w:t>). Additional Texas institutions of higher education may therefore elect to enter into a contract with the successful Contractor under this Agreement. In particular, Contractor should note that University is part of The University of Texas System (</w:t>
      </w:r>
      <w:r>
        <w:rPr>
          <w:rFonts w:ascii="Arial" w:hAnsi="Arial" w:cs="Arial"/>
          <w:b/>
          <w:sz w:val="20"/>
        </w:rPr>
        <w:t>UT System</w:t>
      </w:r>
      <w:r>
        <w:rPr>
          <w:rFonts w:ascii="Arial" w:hAnsi="Arial" w:cs="Arial"/>
          <w:sz w:val="20"/>
        </w:rPr>
        <w:t xml:space="preserve">), which is comprised of fourteen institutions described at </w:t>
      </w:r>
      <w:hyperlink r:id="rId119" w:history="1">
        <w:r>
          <w:rPr>
            <w:rStyle w:val="Hyperlink"/>
            <w:rFonts w:ascii="Arial" w:hAnsi="Arial" w:cs="Arial"/>
            <w:sz w:val="20"/>
          </w:rPr>
          <w:t>http://www.utsystem.edu/institutions</w:t>
        </w:r>
      </w:hyperlink>
      <w:r>
        <w:rPr>
          <w:rFonts w:ascii="Arial" w:hAnsi="Arial" w:cs="Arial"/>
          <w:sz w:val="20"/>
        </w:rPr>
        <w:t>. UT System institutions routinely evaluate whether a contract resulting from a procurement conducted by one of the institutions might be suitable for use by another, and if so, this Agreement could give rise to additional purchase volumes. Any purchases made by other institutions based on this Agreement will be the sole responsibility of those institutions.</w:t>
      </w:r>
    </w:p>
    <w:p w:rsidR="003B41E4" w:rsidRDefault="003B41E4" w:rsidP="009C413D">
      <w:pPr>
        <w:tabs>
          <w:tab w:val="left" w:pos="-720"/>
          <w:tab w:val="left" w:pos="0"/>
        </w:tabs>
        <w:suppressAutoHyphens/>
        <w:ind w:left="1440" w:hanging="705"/>
        <w:jc w:val="both"/>
        <w:rPr>
          <w:rFonts w:ascii="Arial" w:hAnsi="Arial" w:cs="Arial"/>
          <w:sz w:val="20"/>
        </w:rPr>
      </w:pPr>
    </w:p>
    <w:p w:rsidR="003B41E4" w:rsidRPr="003B41E4" w:rsidRDefault="003B41E4" w:rsidP="009C413D">
      <w:pPr>
        <w:tabs>
          <w:tab w:val="left" w:pos="-720"/>
          <w:tab w:val="left" w:pos="0"/>
        </w:tabs>
        <w:suppressAutoHyphens/>
        <w:ind w:left="1440" w:hanging="705"/>
        <w:jc w:val="both"/>
        <w:rPr>
          <w:rFonts w:ascii="Arial" w:hAnsi="Arial" w:cs="Arial"/>
          <w:spacing w:val="-3"/>
          <w:sz w:val="18"/>
        </w:rPr>
      </w:pPr>
      <w:r w:rsidRPr="003B41E4">
        <w:rPr>
          <w:rFonts w:ascii="Arial" w:hAnsi="Arial" w:cs="Arial"/>
          <w:bCs/>
          <w:sz w:val="20"/>
        </w:rPr>
        <w:t>12.4</w:t>
      </w:r>
      <w:r>
        <w:rPr>
          <w:rFonts w:ascii="Arial" w:hAnsi="Arial" w:cs="Arial"/>
          <w:bCs/>
          <w:sz w:val="20"/>
        </w:rPr>
        <w:t>6</w:t>
      </w:r>
      <w:r w:rsidRPr="003B41E4">
        <w:rPr>
          <w:rFonts w:ascii="Arial" w:hAnsi="Arial" w:cs="Arial"/>
          <w:bCs/>
          <w:sz w:val="20"/>
        </w:rPr>
        <w:tab/>
      </w:r>
      <w:r w:rsidRPr="003B41E4">
        <w:rPr>
          <w:rFonts w:ascii="Arial" w:hAnsi="Arial" w:cs="Arial"/>
          <w:b/>
          <w:bCs/>
          <w:sz w:val="20"/>
        </w:rPr>
        <w:t>Board of Regents Review.</w:t>
      </w:r>
      <w:r>
        <w:rPr>
          <w:rFonts w:ascii="Arial" w:hAnsi="Arial" w:cs="Arial"/>
          <w:bCs/>
          <w:sz w:val="20"/>
        </w:rPr>
        <w:t xml:space="preserve"> </w:t>
      </w:r>
      <w:r w:rsidRPr="003B41E4">
        <w:rPr>
          <w:rFonts w:ascii="Arial" w:hAnsi="Arial" w:cs="Arial"/>
          <w:sz w:val="20"/>
        </w:rPr>
        <w:t>This Agreement is subject to review and approval by The Board of Regents of The University of Texas System (the “Board”).  The validity and effectiveness of this Agreement is contingent upon the approval of this Agreement by the Board through the docketing requirements and approval process under the Rules and Regulations of the Board.  If the Board does not approve this Agreement as part of such process, then the University will promptly notify Contractor in writing and this Agreement will terminate, except for those provisions that by their terms or nature will survive such termination; provided, however, that University shall pay Contractor for the goods or services provided by Consultant hereunder through the date of Contractor’s receipt of such notice of the Board’s non-approval.  Notwithstanding any other provision of this Agreement, in the event that the Board does not approve this Agreement, the total amount that University pays to Contractor under this Agreement will not in any event exceed $2,499,999.99.</w:t>
      </w:r>
    </w:p>
    <w:p w:rsidR="009C413D" w:rsidRDefault="009C413D" w:rsidP="00B56A44">
      <w:pPr>
        <w:tabs>
          <w:tab w:val="left" w:pos="-720"/>
          <w:tab w:val="left" w:pos="0"/>
        </w:tabs>
        <w:suppressAutoHyphens/>
        <w:ind w:left="1440" w:hanging="705"/>
        <w:jc w:val="both"/>
        <w:rPr>
          <w:rFonts w:ascii="Arial" w:hAnsi="Arial" w:cs="Arial"/>
          <w:spacing w:val="-3"/>
          <w:sz w:val="20"/>
        </w:rPr>
      </w:pPr>
    </w:p>
    <w:p w:rsidR="000100B0" w:rsidRDefault="000100B0" w:rsidP="00B56A44">
      <w:pPr>
        <w:tabs>
          <w:tab w:val="left" w:pos="-720"/>
          <w:tab w:val="left" w:pos="0"/>
        </w:tabs>
        <w:suppressAutoHyphens/>
        <w:ind w:left="1440" w:hanging="705"/>
        <w:jc w:val="both"/>
        <w:rPr>
          <w:rFonts w:ascii="Arial" w:hAnsi="Arial" w:cs="Arial"/>
          <w:spacing w:val="-3"/>
          <w:sz w:val="20"/>
        </w:rPr>
      </w:pP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515B26" w:rsidRPr="004B03AA" w:rsidRDefault="00515B26" w:rsidP="00515B26">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515B26" w:rsidP="00515B26">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515B26" w:rsidRDefault="00515B26"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rsidR="00515B26" w:rsidRDefault="00515B26"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20"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21"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2"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850A5" w:rsidRPr="007A54A3" w:rsidRDefault="00A850A5" w:rsidP="009F5AB9">
      <w:pPr>
        <w:keepNext/>
        <w:keepLines/>
        <w:spacing w:before="100" w:beforeAutospacing="1" w:after="100" w:afterAutospacing="1"/>
        <w:jc w:val="both"/>
        <w:outlineLvl w:val="2"/>
        <w:rPr>
          <w:rFonts w:ascii="Arial" w:hAnsi="Arial" w:cs="Arial"/>
          <w:b/>
          <w:bCs/>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23"/>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BC" w:rsidRDefault="006735BC">
      <w:pPr>
        <w:spacing w:line="20" w:lineRule="exact"/>
      </w:pPr>
    </w:p>
  </w:endnote>
  <w:endnote w:type="continuationSeparator" w:id="0">
    <w:p w:rsidR="006735BC" w:rsidRDefault="006735BC">
      <w:r>
        <w:t xml:space="preserve"> </w:t>
      </w:r>
    </w:p>
  </w:endnote>
  <w:endnote w:type="continuationNotice" w:id="1">
    <w:p w:rsidR="006735BC" w:rsidRDefault="006735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26" w:rsidRDefault="00515B26">
    <w:pPr>
      <w:pStyle w:val="Footer"/>
      <w:framePr w:wrap="around" w:vAnchor="text" w:hAnchor="margin" w:xAlign="center" w:y="1"/>
      <w:rPr>
        <w:rStyle w:val="PageNumber"/>
      </w:rPr>
    </w:pPr>
  </w:p>
  <w:p w:rsidR="00515B26" w:rsidRDefault="0051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BC" w:rsidRDefault="006735BC">
      <w:r>
        <w:separator/>
      </w:r>
    </w:p>
  </w:footnote>
  <w:footnote w:type="continuationSeparator" w:id="0">
    <w:p w:rsidR="006735BC" w:rsidRDefault="006735BC">
      <w:r>
        <w:continuationSeparator/>
      </w:r>
    </w:p>
  </w:footnote>
  <w:footnote w:type="continuationNotice" w:id="1">
    <w:p w:rsidR="006735BC" w:rsidRDefault="006735B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7"/>
  </w:num>
  <w:num w:numId="7">
    <w:abstractNumId w:val="5"/>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1E4"/>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5B26"/>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35BC"/>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24A3"/>
    <w:rsid w:val="006B342B"/>
    <w:rsid w:val="006B3EF4"/>
    <w:rsid w:val="006B4F7D"/>
    <w:rsid w:val="006B5C23"/>
    <w:rsid w:val="006B5D79"/>
    <w:rsid w:val="006B65C4"/>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28"/>
    <w:rsid w:val="008A5CA7"/>
    <w:rsid w:val="008A72D6"/>
    <w:rsid w:val="008A7796"/>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8A"/>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www.statutes.legis.state.tx.us/Docs/ED/htm/ED.73.htm"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73.htm" TargetMode="External"/><Relationship Id="rId63" Type="http://schemas.openxmlformats.org/officeDocument/2006/relationships/hyperlink" Target="https://www.uscis.gov/ilink/docView/SLB/HTML/SLB/0-0-0-1/0-0-0-11261/0-0-0-28757.html" TargetMode="External"/><Relationship Id="rId68" Type="http://schemas.openxmlformats.org/officeDocument/2006/relationships/hyperlink" Target="http://www.legis.state.tx.us/tlodocs/84R/billtext/html/HB01295F.htm" TargetMode="External"/><Relationship Id="rId84" Type="http://schemas.openxmlformats.org/officeDocument/2006/relationships/hyperlink" Target="http://texreg.sos.state.tx.us/public/readtac$ext.TacPage?sl=R&amp;app=9&amp;p_dir=&amp;p_rloc=&amp;p_tloc=&amp;p_ploc=&amp;pg=1&amp;p_tac=&amp;ti=34&amp;pt=1&amp;ch=20&amp;rl=585" TargetMode="External"/><Relationship Id="rId89" Type="http://schemas.openxmlformats.org/officeDocument/2006/relationships/hyperlink" Target="http://www.statutes.legis.state.tx.us/Docs/GV/htm/GV.2161.htm"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statutes.legis.state.tx.us/Docs/GV/htm/GV.2270.v2.htm"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texreg.sos.state.tx.us/public/readtac$ext.ViewTAC?tac_view=5&amp;ti=30&amp;pt=1&amp;ch=328&amp;sch=I&amp;rl=Y"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102" Type="http://schemas.openxmlformats.org/officeDocument/2006/relationships/hyperlink" Target="http://www.ecfr.gov/cgi-bin/text-idx?SID=07739077fe475c71409b238168c3ea62&amp;mc=true&amp;node=se41.1.60_6741_15&amp;rgn=div8"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uscode.house.gov/view.xhtml?req=(title:8%20section:1324%20edition:prelim)%20OR%20(granuleid:USC-prelim-title8-section1324)&amp;f=treesort&amp;edition=prelim&amp;num=0&amp;jumpTo=true"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www.sam.gov/"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4.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www.uthouston.edu/hoop/policy.htm?id=1447888"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www.statutes.legis.state.tx.us/Docs/GV/htm/GV.2054.htm" TargetMode="External"/><Relationship Id="rId100" Type="http://schemas.openxmlformats.org/officeDocument/2006/relationships/hyperlink" Target="http://www.ecfr.gov/cgi-bin/text-idx?rgn=div5&amp;node=41:1.2.3.1.1" TargetMode="External"/><Relationship Id="rId105" Type="http://schemas.openxmlformats.org/officeDocument/2006/relationships/hyperlink" Target="http://www.ecfr.gov/cgi-bin/retrieveECFR?gp=&amp;SID=0b4547396fd9a36b869a1ea376ce85b7&amp;r=PART&amp;n=34y1.1.1.1.33" TargetMode="External"/><Relationship Id="rId113" Type="http://schemas.openxmlformats.org/officeDocument/2006/relationships/hyperlink" Target="http://www.legis.state.tx.us/tlodocs/85R/billtext/html/SB00253F.htm" TargetMode="External"/><Relationship Id="rId118" Type="http://schemas.openxmlformats.org/officeDocument/2006/relationships/hyperlink" Target="http://www.statutes.legis.state.tx.us/Docs/ED/htm/ED.74.htm"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586" TargetMode="External"/><Relationship Id="rId93" Type="http://schemas.openxmlformats.org/officeDocument/2006/relationships/hyperlink" Target="http://texreg.sos.state.tx.us/public/readtac$ext.TacPage?sl=R&amp;app=9&amp;p_dir=&amp;p_rloc=&amp;p_tloc=&amp;p_ploc=&amp;pg=1&amp;p_tac=&amp;ti=34&amp;pt=1&amp;ch=20&amp;rl=586" TargetMode="External"/><Relationship Id="rId98"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21" Type="http://schemas.openxmlformats.org/officeDocument/2006/relationships/hyperlink" Target="http://uscode.house.gov/view.xhtml?req=(title:20%20section:1232g%20edition:prelim)%20OR%20(granuleid:USC-prelim-title20-section1232g)&amp;f=treesort&amp;edition=prelim&amp;num=0&amp;jumpTo=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ED/htm/ED.51.htm" TargetMode="External"/><Relationship Id="rId59" Type="http://schemas.openxmlformats.org/officeDocument/2006/relationships/hyperlink" Target="http://www.statutes.legis.state.tx.us/Docs/CP/htm/CP.107.htm" TargetMode="External"/><Relationship Id="rId67" Type="http://schemas.openxmlformats.org/officeDocument/2006/relationships/hyperlink" Target="http://www.statutes.legis.state.tx.us/Docs/GV/htm/GV.2252.htm" TargetMode="External"/><Relationship Id="rId103" Type="http://schemas.openxmlformats.org/officeDocument/2006/relationships/hyperlink" Target="http://www.ecfr.gov/cgi-bin/text-idx?rgn=div5&amp;node=34:1.1.1.1.33"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ED/htm/ED.51.htm" TargetMode="External"/><Relationship Id="rId124" Type="http://schemas.openxmlformats.org/officeDocument/2006/relationships/fontTable" Target="fontTable.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s://www.uscis.gov/i-9" TargetMode="External"/><Relationship Id="rId70" Type="http://schemas.openxmlformats.org/officeDocument/2006/relationships/hyperlink" Target="https://www.ethics.state.tx.us/rules/adopted_Nov_2015.html" TargetMode="External"/><Relationship Id="rId75" Type="http://schemas.openxmlformats.org/officeDocument/2006/relationships/hyperlink" Target="http://texreg.sos.state.tx.us/public/readtac$ext.ViewTAC?tac_view=4&amp;ti=1&amp;pt=10&amp;ch=213"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exclusions.oig.hhs.gov/" TargetMode="External"/><Relationship Id="rId111" Type="http://schemas.openxmlformats.org/officeDocument/2006/relationships/hyperlink" Target="http://www.statutes.legis.state.tx.us/Docs/GV/htm/GV.225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GV/htm/GV.2260.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statutes.legis.state.tx.us/Docs/GV/htm/GV.2270.v2.htm" TargetMode="External"/><Relationship Id="rId114" Type="http://schemas.openxmlformats.org/officeDocument/2006/relationships/hyperlink" Target="http://www.statutes.legis.state.tx.us/Docs/GV/htm/GV.2270.htm" TargetMode="External"/><Relationship Id="rId119" Type="http://schemas.openxmlformats.org/officeDocument/2006/relationships/hyperlink" Target="http://www.utsystem.edu/institutions"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www.uthouston.edu/hoop/standards-of-conduct-guide.htm"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uscode.house.gov/view.xhtml?req=(title:18%20section:1001%20edition:prelim)%20OR%20(granuleid:USC-prelim-title18-section1001)&amp;f=treesort&amp;edition=prelim&amp;num=0&amp;jumpTo=true" TargetMode="External"/><Relationship Id="rId99" Type="http://schemas.openxmlformats.org/officeDocument/2006/relationships/hyperlink" Target="https://www.osha.gov/pls/oshaweb/owadisp.show_document?p_table=OSHACT&amp;p_id=2743" TargetMode="External"/><Relationship Id="rId101" Type="http://schemas.openxmlformats.org/officeDocument/2006/relationships/hyperlink" Target="http://www.ecfr.gov/cgi-bin/text-idx?SID=07739077fe475c71409b238168c3ea62&amp;mc=true&amp;node=se41.1.60_6300_15&amp;rgn=div8" TargetMode="External"/><Relationship Id="rId122" Type="http://schemas.openxmlformats.org/officeDocument/2006/relationships/hyperlink" Target="http://www.utsystem.edu/board-of-regents/policy-library/policies/uts165-information-resources-use-and-security-policy"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808.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TacPage?sl=R&amp;app=9&amp;p_dir=&amp;p_rloc=&amp;p_tloc=&amp;p_ploc=&amp;pg=1&amp;p_tac=&amp;ti=1&amp;pt=10&amp;ch=206&amp;rl=70" TargetMode="External"/><Relationship Id="rId97" Type="http://schemas.openxmlformats.org/officeDocument/2006/relationships/hyperlink" Target="http://uscode.house.gov/view.xhtml?req=(title:42%20section:1395x%20edition:prelim)%20OR%20(granuleid:USC-prelim-title42-section1395x)&amp;f=treesort&amp;edition=prelim&amp;num=0&amp;jumpTo=true" TargetMode="External"/><Relationship Id="rId104" Type="http://schemas.openxmlformats.org/officeDocument/2006/relationships/hyperlink" Target="http://www.ecfr.gov/cgi-bin/text-idx?rgn=div5&amp;node=34:1.1.1.1.33" TargetMode="External"/><Relationship Id="rId120" Type="http://schemas.openxmlformats.org/officeDocument/2006/relationships/hyperlink" Target="https://fmx.cpa.state.tx.us/fm/travel/travelrates.php" TargetMode="External"/><Relationship Id="rId125" Type="http://schemas.openxmlformats.org/officeDocument/2006/relationships/theme" Target="theme/theme1.xm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s://www.ethics.state.tx.us/whatsnew/FAQ_Form1295.html" TargetMode="External"/><Relationship Id="rId92" Type="http://schemas.openxmlformats.org/officeDocument/2006/relationships/hyperlink" Target="http://texreg.sos.state.tx.us/public/readtac$ext.TacPage?sl=R&amp;app=9&amp;p_dir=&amp;p_rloc=&amp;p_tloc=&amp;p_ploc=&amp;pg=1&amp;p_tac=&amp;ti=34&amp;pt=1&amp;ch=20&amp;rl=5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utsystem.edu/offices/general-counsel/ethics"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10" Type="http://schemas.openxmlformats.org/officeDocument/2006/relationships/hyperlink" Target="http://www.statutes.legis.state.tx.us/Docs/GV/htm/GV.2252.htm" TargetMode="External"/><Relationship Id="rId115" Type="http://schemas.openxmlformats.org/officeDocument/2006/relationships/hyperlink" Target="http://www.statutes.legis.state.tx.us/Docs/ED/htm/ED.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18972</Words>
  <Characters>108141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126860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2014-03-27T15:13:00Z</cp:lastPrinted>
  <dcterms:created xsi:type="dcterms:W3CDTF">2018-03-29T19:52:00Z</dcterms:created>
  <dcterms:modified xsi:type="dcterms:W3CDTF">2018-03-29T19:52:00Z</dcterms:modified>
</cp:coreProperties>
</file>